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70D0" w:rsidRPr="00F5494A" w:rsidRDefault="00101090">
      <w:pPr>
        <w:jc w:val="center"/>
        <w:rPr>
          <w:rFonts w:ascii="Arial" w:eastAsia="Arial" w:hAnsi="Arial" w:cs="Arial"/>
          <w:b/>
          <w:sz w:val="28"/>
          <w:szCs w:val="28"/>
        </w:rPr>
      </w:pPr>
      <w:r w:rsidRPr="00F5494A">
        <w:rPr>
          <w:rFonts w:ascii="Arial" w:eastAsia="Arial" w:hAnsi="Arial" w:cs="Arial"/>
          <w:b/>
          <w:sz w:val="28"/>
          <w:szCs w:val="28"/>
        </w:rPr>
        <w:t>DESCRIPTOR</w:t>
      </w:r>
      <w:r w:rsidR="005D4A29" w:rsidRPr="00F5494A">
        <w:rPr>
          <w:rFonts w:ascii="Arial" w:eastAsia="Arial" w:hAnsi="Arial" w:cs="Arial"/>
          <w:b/>
          <w:sz w:val="28"/>
          <w:szCs w:val="28"/>
        </w:rPr>
        <w:t xml:space="preserve"> – MUS 110</w:t>
      </w:r>
    </w:p>
    <w:p w:rsidR="00A570D0" w:rsidRPr="00F5494A" w:rsidRDefault="00A570D0">
      <w:pPr>
        <w:rPr>
          <w:rFonts w:ascii="Arial" w:hAnsi="Arial" w:cs="Arial"/>
        </w:rPr>
      </w:pP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3"/>
        <w:gridCol w:w="758"/>
        <w:gridCol w:w="1572"/>
        <w:gridCol w:w="3097"/>
      </w:tblGrid>
      <w:tr w:rsidR="00A570D0" w:rsidRPr="00F5494A">
        <w:tc>
          <w:tcPr>
            <w:tcW w:w="3923" w:type="dxa"/>
          </w:tcPr>
          <w:p w:rsidR="00A570D0" w:rsidRPr="00F5494A" w:rsidRDefault="00101090">
            <w:pPr>
              <w:rPr>
                <w:rFonts w:ascii="Arial" w:hAnsi="Arial" w:cs="Arial"/>
              </w:rPr>
            </w:pPr>
            <w:r w:rsidRPr="00F5494A">
              <w:rPr>
                <w:rFonts w:ascii="Arial" w:hAnsi="Arial" w:cs="Arial"/>
              </w:rPr>
              <w:t>Discipline: Music</w:t>
            </w:r>
          </w:p>
        </w:tc>
        <w:tc>
          <w:tcPr>
            <w:tcW w:w="5427" w:type="dxa"/>
            <w:gridSpan w:val="3"/>
          </w:tcPr>
          <w:p w:rsidR="00A570D0" w:rsidRPr="00F5494A" w:rsidRDefault="00101090">
            <w:pPr>
              <w:rPr>
                <w:rFonts w:ascii="Arial" w:hAnsi="Arial" w:cs="Arial"/>
              </w:rPr>
            </w:pPr>
            <w:r w:rsidRPr="00F5494A">
              <w:rPr>
                <w:rFonts w:ascii="Arial" w:hAnsi="Arial" w:cs="Arial"/>
              </w:rPr>
              <w:t>Sub-discipline:</w:t>
            </w:r>
          </w:p>
        </w:tc>
      </w:tr>
      <w:tr w:rsidR="00A570D0" w:rsidRPr="00F5494A">
        <w:tc>
          <w:tcPr>
            <w:tcW w:w="6253" w:type="dxa"/>
            <w:gridSpan w:val="3"/>
          </w:tcPr>
          <w:p w:rsidR="00A570D0" w:rsidRPr="00F5494A" w:rsidRDefault="00101090">
            <w:pPr>
              <w:rPr>
                <w:rFonts w:ascii="Arial" w:hAnsi="Arial" w:cs="Arial"/>
              </w:rPr>
            </w:pPr>
            <w:r w:rsidRPr="00F5494A">
              <w:rPr>
                <w:rFonts w:ascii="Arial" w:hAnsi="Arial" w:cs="Arial"/>
              </w:rPr>
              <w:t>General Course Title: Music Fundamentals</w:t>
            </w:r>
          </w:p>
        </w:tc>
        <w:tc>
          <w:tcPr>
            <w:tcW w:w="3097" w:type="dxa"/>
          </w:tcPr>
          <w:p w:rsidR="00A570D0" w:rsidRPr="00F5494A" w:rsidRDefault="00101090">
            <w:pPr>
              <w:rPr>
                <w:rFonts w:ascii="Arial" w:hAnsi="Arial" w:cs="Arial"/>
              </w:rPr>
            </w:pPr>
            <w:r w:rsidRPr="00F5494A">
              <w:rPr>
                <w:rFonts w:ascii="Arial" w:hAnsi="Arial" w:cs="Arial"/>
              </w:rPr>
              <w:t>Min. Units: 3</w:t>
            </w:r>
          </w:p>
        </w:tc>
      </w:tr>
      <w:tr w:rsidR="00A570D0" w:rsidRPr="00F5494A">
        <w:tc>
          <w:tcPr>
            <w:tcW w:w="9350" w:type="dxa"/>
            <w:gridSpan w:val="4"/>
          </w:tcPr>
          <w:p w:rsidR="00A570D0" w:rsidRPr="00F5494A" w:rsidRDefault="00101090">
            <w:pPr>
              <w:rPr>
                <w:rFonts w:ascii="Arial" w:hAnsi="Arial" w:cs="Arial"/>
              </w:rPr>
            </w:pPr>
            <w:r w:rsidRPr="00F5494A">
              <w:rPr>
                <w:rFonts w:ascii="Arial" w:hAnsi="Arial" w:cs="Arial"/>
              </w:rPr>
              <w:t xml:space="preserve">General Course Description:  </w:t>
            </w:r>
            <w:r w:rsidRPr="00F5494A">
              <w:rPr>
                <w:rFonts w:ascii="Arial" w:hAnsi="Arial" w:cs="Arial"/>
              </w:rPr>
              <w:br/>
            </w:r>
          </w:p>
          <w:p w:rsidR="00A570D0" w:rsidRPr="00F5494A" w:rsidRDefault="00101090">
            <w:pPr>
              <w:rPr>
                <w:rFonts w:ascii="Arial" w:hAnsi="Arial" w:cs="Arial"/>
              </w:rPr>
            </w:pPr>
            <w:r w:rsidRPr="00F5494A">
              <w:rPr>
                <w:rFonts w:ascii="Arial" w:hAnsi="Arial" w:cs="Arial"/>
              </w:rPr>
              <w:t>An introduction to the notation and fundamental theoretical elements of Western music, demonstrated through a variety of styles, covering: pitch and rhythm concepts and structures, basic formal elements, and fundamental musicianship.  Development of skills in handwritten notation is expected.  In addition, interpreting music, written and aural</w:t>
            </w:r>
            <w:bookmarkStart w:id="0" w:name="_GoBack"/>
            <w:bookmarkEnd w:id="0"/>
            <w:r w:rsidRPr="00F5494A">
              <w:rPr>
                <w:rFonts w:ascii="Arial" w:hAnsi="Arial" w:cs="Arial"/>
              </w:rPr>
              <w:t>ly, with regard to its broad historical and cultural context will be covered, and critiquing different musical genres and styles in order to make aesthetic judgments about them by applying criteria from the knowledge and principles of music theory learned in class.</w:t>
            </w:r>
            <w:r w:rsidRPr="00F5494A">
              <w:rPr>
                <w:rFonts w:ascii="Arial" w:hAnsi="Arial" w:cs="Arial"/>
              </w:rPr>
              <w:br/>
            </w:r>
          </w:p>
        </w:tc>
      </w:tr>
      <w:tr w:rsidR="00A570D0" w:rsidRPr="00F5494A">
        <w:tc>
          <w:tcPr>
            <w:tcW w:w="3923" w:type="dxa"/>
          </w:tcPr>
          <w:p w:rsidR="00A570D0" w:rsidRPr="00F5494A" w:rsidRDefault="00101090">
            <w:pPr>
              <w:rPr>
                <w:rFonts w:ascii="Arial" w:hAnsi="Arial" w:cs="Arial"/>
              </w:rPr>
            </w:pPr>
            <w:r w:rsidRPr="00F5494A">
              <w:rPr>
                <w:rFonts w:ascii="Arial" w:hAnsi="Arial" w:cs="Arial"/>
              </w:rPr>
              <w:t>Number: 110</w:t>
            </w:r>
          </w:p>
        </w:tc>
        <w:tc>
          <w:tcPr>
            <w:tcW w:w="5427" w:type="dxa"/>
            <w:gridSpan w:val="3"/>
          </w:tcPr>
          <w:p w:rsidR="00A570D0" w:rsidRPr="00F5494A" w:rsidRDefault="00101090">
            <w:pPr>
              <w:rPr>
                <w:rFonts w:ascii="Arial" w:hAnsi="Arial" w:cs="Arial"/>
              </w:rPr>
            </w:pPr>
            <w:r w:rsidRPr="00F5494A">
              <w:rPr>
                <w:rFonts w:ascii="Arial" w:hAnsi="Arial" w:cs="Arial"/>
              </w:rPr>
              <w:t xml:space="preserve">Suffix:  </w:t>
            </w:r>
          </w:p>
        </w:tc>
      </w:tr>
      <w:tr w:rsidR="00A570D0" w:rsidRPr="00F5494A">
        <w:tc>
          <w:tcPr>
            <w:tcW w:w="9350" w:type="dxa"/>
            <w:gridSpan w:val="4"/>
          </w:tcPr>
          <w:p w:rsidR="00A570D0" w:rsidRPr="00F5494A" w:rsidRDefault="00101090">
            <w:pPr>
              <w:rPr>
                <w:rFonts w:ascii="Arial" w:hAnsi="Arial" w:cs="Arial"/>
              </w:rPr>
            </w:pPr>
            <w:r w:rsidRPr="00F5494A">
              <w:rPr>
                <w:rFonts w:ascii="Arial" w:hAnsi="Arial" w:cs="Arial"/>
              </w:rPr>
              <w:t xml:space="preserve">    Any rationale or comment</w:t>
            </w:r>
          </w:p>
          <w:p w:rsidR="00A570D0" w:rsidRPr="00F5494A" w:rsidRDefault="00101090">
            <w:pPr>
              <w:rPr>
                <w:rFonts w:ascii="Arial" w:hAnsi="Arial" w:cs="Arial"/>
              </w:rPr>
            </w:pPr>
            <w:r w:rsidRPr="00F5494A">
              <w:rPr>
                <w:rFonts w:ascii="Arial" w:hAnsi="Arial" w:cs="Arial"/>
              </w:rPr>
              <w:t>Suitable for both music majors (as a pre-requisite for further music theory study) and non-majors, this course may satisfy a general education requirement in lower-division curricula, and is commonly transferable in a baccalaureate program.</w:t>
            </w:r>
          </w:p>
        </w:tc>
      </w:tr>
      <w:tr w:rsidR="00A570D0" w:rsidRPr="00F5494A">
        <w:tc>
          <w:tcPr>
            <w:tcW w:w="9350" w:type="dxa"/>
            <w:gridSpan w:val="4"/>
          </w:tcPr>
          <w:p w:rsidR="00A570D0" w:rsidRPr="00F5494A" w:rsidRDefault="00101090">
            <w:pPr>
              <w:rPr>
                <w:rFonts w:ascii="Arial" w:hAnsi="Arial" w:cs="Arial"/>
              </w:rPr>
            </w:pPr>
            <w:r w:rsidRPr="00F5494A">
              <w:rPr>
                <w:rFonts w:ascii="Arial" w:hAnsi="Arial" w:cs="Arial"/>
              </w:rPr>
              <w:t>Co-Requisites</w:t>
            </w:r>
            <w:r w:rsidRPr="00F5494A">
              <w:rPr>
                <w:rFonts w:ascii="Arial" w:hAnsi="Arial" w:cs="Arial"/>
                <w:vertAlign w:val="superscript"/>
              </w:rPr>
              <w:footnoteReference w:id="1"/>
            </w:r>
            <w:r w:rsidRPr="00F5494A">
              <w:rPr>
                <w:rFonts w:ascii="Arial" w:hAnsi="Arial" w:cs="Arial"/>
              </w:rPr>
              <w:t xml:space="preserve"> None</w:t>
            </w:r>
          </w:p>
        </w:tc>
      </w:tr>
      <w:tr w:rsidR="00A570D0" w:rsidRPr="00F5494A">
        <w:tc>
          <w:tcPr>
            <w:tcW w:w="9350" w:type="dxa"/>
            <w:gridSpan w:val="4"/>
          </w:tcPr>
          <w:p w:rsidR="00A570D0" w:rsidRPr="00F5494A" w:rsidRDefault="00101090">
            <w:pPr>
              <w:rPr>
                <w:rFonts w:ascii="Arial" w:hAnsi="Arial" w:cs="Arial"/>
              </w:rPr>
            </w:pPr>
            <w:r w:rsidRPr="00F5494A">
              <w:rPr>
                <w:rFonts w:ascii="Arial" w:hAnsi="Arial" w:cs="Arial"/>
              </w:rPr>
              <w:t>Advisories/Recommended Preparation</w:t>
            </w:r>
            <w:r w:rsidRPr="00F5494A">
              <w:rPr>
                <w:rFonts w:ascii="Arial" w:hAnsi="Arial" w:cs="Arial"/>
                <w:vertAlign w:val="superscript"/>
              </w:rPr>
              <w:footnoteReference w:id="2"/>
            </w:r>
            <w:r w:rsidRPr="00F5494A">
              <w:rPr>
                <w:rFonts w:ascii="Arial" w:hAnsi="Arial" w:cs="Arial"/>
              </w:rPr>
              <w:t xml:space="preserve"> </w:t>
            </w:r>
          </w:p>
        </w:tc>
      </w:tr>
      <w:tr w:rsidR="00A570D0" w:rsidRPr="00F5494A">
        <w:tc>
          <w:tcPr>
            <w:tcW w:w="9350" w:type="dxa"/>
            <w:gridSpan w:val="4"/>
          </w:tcPr>
          <w:p w:rsidR="00A570D0" w:rsidRPr="00F5494A" w:rsidRDefault="00101090">
            <w:pPr>
              <w:rPr>
                <w:rFonts w:ascii="Arial" w:hAnsi="Arial" w:cs="Arial"/>
              </w:rPr>
            </w:pPr>
            <w:r w:rsidRPr="00F5494A">
              <w:rPr>
                <w:rFonts w:ascii="Arial" w:hAnsi="Arial" w:cs="Arial"/>
              </w:rPr>
              <w:t xml:space="preserve">Course Content:  This course resides in a sequence, and elements of this course may appear in another course within the sequence. </w:t>
            </w:r>
          </w:p>
          <w:p w:rsidR="00A570D0" w:rsidRPr="00F5494A" w:rsidRDefault="00101090">
            <w:pPr>
              <w:rPr>
                <w:rFonts w:ascii="Arial" w:hAnsi="Arial" w:cs="Arial"/>
              </w:rPr>
            </w:pPr>
            <w:r w:rsidRPr="00F5494A">
              <w:rPr>
                <w:rFonts w:ascii="Arial" w:hAnsi="Arial" w:cs="Arial"/>
              </w:rPr>
              <w:t xml:space="preserve">Minimum topics: </w:t>
            </w:r>
          </w:p>
          <w:p w:rsidR="00A570D0" w:rsidRPr="00F5494A" w:rsidRDefault="00101090">
            <w:pPr>
              <w:numPr>
                <w:ilvl w:val="0"/>
                <w:numId w:val="1"/>
              </w:numPr>
              <w:ind w:hanging="360"/>
              <w:rPr>
                <w:rFonts w:ascii="Arial" w:hAnsi="Arial" w:cs="Arial"/>
              </w:rPr>
            </w:pPr>
            <w:r w:rsidRPr="00F5494A">
              <w:rPr>
                <w:rFonts w:ascii="Arial" w:hAnsi="Arial" w:cs="Arial"/>
              </w:rPr>
              <w:t>handwritten notation of pitch and rhythm</w:t>
            </w:r>
          </w:p>
          <w:p w:rsidR="00A570D0" w:rsidRPr="00F5494A" w:rsidRDefault="00101090">
            <w:pPr>
              <w:numPr>
                <w:ilvl w:val="0"/>
                <w:numId w:val="1"/>
              </w:numPr>
              <w:ind w:hanging="360"/>
              <w:rPr>
                <w:rFonts w:ascii="Arial" w:hAnsi="Arial" w:cs="Arial"/>
              </w:rPr>
            </w:pPr>
            <w:r w:rsidRPr="00F5494A">
              <w:rPr>
                <w:rFonts w:ascii="Arial" w:hAnsi="Arial" w:cs="Arial"/>
              </w:rPr>
              <w:t>simple and compound meters</w:t>
            </w:r>
          </w:p>
          <w:p w:rsidR="00A570D0" w:rsidRPr="00F5494A" w:rsidRDefault="00101090">
            <w:pPr>
              <w:numPr>
                <w:ilvl w:val="0"/>
                <w:numId w:val="1"/>
              </w:numPr>
              <w:ind w:hanging="360"/>
              <w:rPr>
                <w:rFonts w:ascii="Arial" w:hAnsi="Arial" w:cs="Arial"/>
              </w:rPr>
            </w:pPr>
            <w:r w:rsidRPr="00F5494A">
              <w:rPr>
                <w:rFonts w:ascii="Arial" w:hAnsi="Arial" w:cs="Arial"/>
              </w:rPr>
              <w:t xml:space="preserve">basic properties of sound </w:t>
            </w:r>
          </w:p>
          <w:p w:rsidR="00A570D0" w:rsidRPr="00F5494A" w:rsidRDefault="00101090">
            <w:pPr>
              <w:numPr>
                <w:ilvl w:val="0"/>
                <w:numId w:val="1"/>
              </w:numPr>
              <w:ind w:hanging="360"/>
              <w:rPr>
                <w:rFonts w:ascii="Arial" w:hAnsi="Arial" w:cs="Arial"/>
              </w:rPr>
            </w:pPr>
            <w:r w:rsidRPr="00F5494A">
              <w:rPr>
                <w:rFonts w:ascii="Arial" w:hAnsi="Arial" w:cs="Arial"/>
              </w:rPr>
              <w:t>intervals</w:t>
            </w:r>
          </w:p>
          <w:p w:rsidR="00A570D0" w:rsidRPr="00F5494A" w:rsidRDefault="00101090">
            <w:pPr>
              <w:numPr>
                <w:ilvl w:val="0"/>
                <w:numId w:val="1"/>
              </w:numPr>
              <w:ind w:hanging="360"/>
              <w:rPr>
                <w:rFonts w:ascii="Arial" w:hAnsi="Arial" w:cs="Arial"/>
              </w:rPr>
            </w:pPr>
            <w:r w:rsidRPr="00F5494A">
              <w:rPr>
                <w:rFonts w:ascii="Arial" w:hAnsi="Arial" w:cs="Arial"/>
              </w:rPr>
              <w:t>key signatures</w:t>
            </w:r>
          </w:p>
          <w:p w:rsidR="00A570D0" w:rsidRPr="00F5494A" w:rsidRDefault="00101090">
            <w:pPr>
              <w:numPr>
                <w:ilvl w:val="0"/>
                <w:numId w:val="1"/>
              </w:numPr>
              <w:ind w:hanging="360"/>
              <w:rPr>
                <w:rFonts w:ascii="Arial" w:hAnsi="Arial" w:cs="Arial"/>
              </w:rPr>
            </w:pPr>
            <w:r w:rsidRPr="00F5494A">
              <w:rPr>
                <w:rFonts w:ascii="Arial" w:hAnsi="Arial" w:cs="Arial"/>
              </w:rPr>
              <w:t>diatonic major and minor scales</w:t>
            </w:r>
          </w:p>
          <w:p w:rsidR="00A570D0" w:rsidRPr="00F5494A" w:rsidRDefault="00101090">
            <w:pPr>
              <w:numPr>
                <w:ilvl w:val="0"/>
                <w:numId w:val="1"/>
              </w:numPr>
              <w:ind w:hanging="360"/>
              <w:rPr>
                <w:rFonts w:ascii="Arial" w:hAnsi="Arial" w:cs="Arial"/>
              </w:rPr>
            </w:pPr>
            <w:r w:rsidRPr="00F5494A">
              <w:rPr>
                <w:rFonts w:ascii="Arial" w:hAnsi="Arial" w:cs="Arial"/>
              </w:rPr>
              <w:t>diatonic triads with elemental harmonization of a melody</w:t>
            </w:r>
          </w:p>
          <w:p w:rsidR="00A570D0" w:rsidRPr="00F5494A" w:rsidRDefault="00101090">
            <w:pPr>
              <w:numPr>
                <w:ilvl w:val="0"/>
                <w:numId w:val="1"/>
              </w:numPr>
              <w:ind w:hanging="360"/>
              <w:rPr>
                <w:rFonts w:ascii="Arial" w:hAnsi="Arial" w:cs="Arial"/>
              </w:rPr>
            </w:pPr>
            <w:r w:rsidRPr="00F5494A">
              <w:rPr>
                <w:rFonts w:ascii="Arial" w:hAnsi="Arial" w:cs="Arial"/>
              </w:rPr>
              <w:t>introduction to the dominant 7</w:t>
            </w:r>
            <w:r w:rsidRPr="00F5494A">
              <w:rPr>
                <w:rFonts w:ascii="Arial" w:hAnsi="Arial" w:cs="Arial"/>
                <w:vertAlign w:val="superscript"/>
              </w:rPr>
              <w:t>th</w:t>
            </w:r>
            <w:r w:rsidRPr="00F5494A">
              <w:rPr>
                <w:rFonts w:ascii="Arial" w:hAnsi="Arial" w:cs="Arial"/>
              </w:rPr>
              <w:t xml:space="preserve"> chord</w:t>
            </w:r>
          </w:p>
          <w:p w:rsidR="00A570D0" w:rsidRPr="00F5494A" w:rsidRDefault="00101090">
            <w:pPr>
              <w:numPr>
                <w:ilvl w:val="0"/>
                <w:numId w:val="1"/>
              </w:numPr>
              <w:ind w:hanging="360"/>
              <w:rPr>
                <w:rFonts w:ascii="Arial" w:hAnsi="Arial" w:cs="Arial"/>
              </w:rPr>
            </w:pPr>
            <w:r w:rsidRPr="00F5494A">
              <w:rPr>
                <w:rFonts w:ascii="Arial" w:hAnsi="Arial" w:cs="Arial"/>
              </w:rPr>
              <w:t>basic phrase and cadence structure (authentic, half, deceptive)</w:t>
            </w:r>
          </w:p>
          <w:p w:rsidR="00A570D0" w:rsidRPr="00F5494A" w:rsidRDefault="00101090">
            <w:pPr>
              <w:numPr>
                <w:ilvl w:val="0"/>
                <w:numId w:val="1"/>
              </w:numPr>
              <w:ind w:hanging="360"/>
              <w:rPr>
                <w:rFonts w:ascii="Arial" w:hAnsi="Arial" w:cs="Arial"/>
              </w:rPr>
            </w:pPr>
            <w:r w:rsidRPr="00F5494A">
              <w:rPr>
                <w:rFonts w:ascii="Arial" w:hAnsi="Arial" w:cs="Arial"/>
              </w:rPr>
              <w:t>fundamental aural skills</w:t>
            </w:r>
          </w:p>
          <w:p w:rsidR="00A570D0" w:rsidRPr="00F5494A" w:rsidRDefault="00101090">
            <w:pPr>
              <w:numPr>
                <w:ilvl w:val="0"/>
                <w:numId w:val="1"/>
              </w:numPr>
              <w:ind w:hanging="360"/>
              <w:rPr>
                <w:rFonts w:ascii="Arial" w:hAnsi="Arial" w:cs="Arial"/>
              </w:rPr>
            </w:pPr>
            <w:r w:rsidRPr="00F5494A">
              <w:rPr>
                <w:rFonts w:ascii="Arial" w:hAnsi="Arial" w:cs="Arial"/>
              </w:rPr>
              <w:t>application of elements to style, including broad cultural and historical factors</w:t>
            </w:r>
          </w:p>
        </w:tc>
      </w:tr>
      <w:tr w:rsidR="00A570D0" w:rsidRPr="00F5494A">
        <w:tc>
          <w:tcPr>
            <w:tcW w:w="9350" w:type="dxa"/>
            <w:gridSpan w:val="4"/>
          </w:tcPr>
          <w:p w:rsidR="00A570D0" w:rsidRPr="00F5494A" w:rsidRDefault="00A570D0">
            <w:pPr>
              <w:rPr>
                <w:rFonts w:ascii="Arial" w:hAnsi="Arial" w:cs="Arial"/>
                <w:strike/>
              </w:rPr>
            </w:pPr>
          </w:p>
          <w:p w:rsidR="00A570D0" w:rsidRPr="00F5494A" w:rsidRDefault="00101090">
            <w:pPr>
              <w:rPr>
                <w:rFonts w:ascii="Arial" w:hAnsi="Arial" w:cs="Arial"/>
                <w:strike/>
              </w:rPr>
            </w:pPr>
            <w:r w:rsidRPr="00F5494A">
              <w:rPr>
                <w:rFonts w:ascii="Arial" w:hAnsi="Arial" w:cs="Arial"/>
              </w:rPr>
              <w:t>Course Objectives: Objectives and Outcomes language based upon the above course content to be developed by individual programs within their local curriculum process.</w:t>
            </w:r>
          </w:p>
        </w:tc>
      </w:tr>
      <w:tr w:rsidR="00A570D0" w:rsidRPr="00F5494A">
        <w:tc>
          <w:tcPr>
            <w:tcW w:w="9350" w:type="dxa"/>
            <w:gridSpan w:val="4"/>
          </w:tcPr>
          <w:p w:rsidR="00A570D0" w:rsidRPr="00F5494A" w:rsidRDefault="00101090">
            <w:pPr>
              <w:rPr>
                <w:rFonts w:ascii="Arial" w:hAnsi="Arial" w:cs="Arial"/>
              </w:rPr>
            </w:pPr>
            <w:r w:rsidRPr="00F5494A">
              <w:rPr>
                <w:rFonts w:ascii="Arial" w:hAnsi="Arial" w:cs="Arial"/>
              </w:rPr>
              <w:t>Methods of Evaluation:  Including but not limited to written exercises and examinations.</w:t>
            </w:r>
          </w:p>
        </w:tc>
      </w:tr>
      <w:tr w:rsidR="00A570D0" w:rsidRPr="00F5494A" w:rsidTr="00101090">
        <w:trPr>
          <w:trHeight w:val="2033"/>
        </w:trPr>
        <w:tc>
          <w:tcPr>
            <w:tcW w:w="9350" w:type="dxa"/>
            <w:gridSpan w:val="4"/>
          </w:tcPr>
          <w:p w:rsidR="00A570D0" w:rsidRPr="00F5494A" w:rsidRDefault="00101090">
            <w:pPr>
              <w:rPr>
                <w:rFonts w:ascii="Arial" w:hAnsi="Arial" w:cs="Arial"/>
              </w:rPr>
            </w:pPr>
            <w:r w:rsidRPr="00F5494A">
              <w:rPr>
                <w:rFonts w:ascii="Arial" w:hAnsi="Arial" w:cs="Arial"/>
              </w:rPr>
              <w:t>Sample Textbooks, Manuals, or Other Support Materials</w:t>
            </w:r>
          </w:p>
          <w:p w:rsidR="00A570D0" w:rsidRPr="00F5494A" w:rsidRDefault="00A570D0">
            <w:pPr>
              <w:rPr>
                <w:rFonts w:ascii="Arial" w:hAnsi="Arial" w:cs="Arial"/>
              </w:rPr>
            </w:pPr>
          </w:p>
          <w:p w:rsidR="00A570D0" w:rsidRPr="00F5494A" w:rsidRDefault="00101090">
            <w:pPr>
              <w:rPr>
                <w:rFonts w:ascii="Arial" w:hAnsi="Arial" w:cs="Arial"/>
              </w:rPr>
            </w:pPr>
            <w:proofErr w:type="spellStart"/>
            <w:r w:rsidRPr="00F5494A">
              <w:rPr>
                <w:rFonts w:ascii="Arial" w:hAnsi="Arial" w:cs="Arial"/>
              </w:rPr>
              <w:t>Clendinning</w:t>
            </w:r>
            <w:proofErr w:type="spellEnd"/>
            <w:r w:rsidRPr="00F5494A">
              <w:rPr>
                <w:rFonts w:ascii="Arial" w:hAnsi="Arial" w:cs="Arial"/>
              </w:rPr>
              <w:t>, J., West Marvin, E., Phillips, J. The Musician’s Guide to Fundamentals, 2</w:t>
            </w:r>
            <w:r w:rsidRPr="00F5494A">
              <w:rPr>
                <w:rFonts w:ascii="Arial" w:hAnsi="Arial" w:cs="Arial"/>
                <w:vertAlign w:val="superscript"/>
              </w:rPr>
              <w:t>nd</w:t>
            </w:r>
            <w:r w:rsidRPr="00F5494A">
              <w:rPr>
                <w:rFonts w:ascii="Arial" w:hAnsi="Arial" w:cs="Arial"/>
              </w:rPr>
              <w:t xml:space="preserve"> Ed.</w:t>
            </w:r>
          </w:p>
          <w:p w:rsidR="00A570D0" w:rsidRPr="00F5494A" w:rsidRDefault="00101090">
            <w:pPr>
              <w:rPr>
                <w:rFonts w:ascii="Arial" w:hAnsi="Arial" w:cs="Arial"/>
              </w:rPr>
            </w:pPr>
            <w:r w:rsidRPr="00F5494A">
              <w:rPr>
                <w:rFonts w:ascii="Arial" w:hAnsi="Arial" w:cs="Arial"/>
              </w:rPr>
              <w:t>White, Gary C. Music First</w:t>
            </w:r>
            <w:proofErr w:type="gramStart"/>
            <w:r w:rsidRPr="00F5494A">
              <w:rPr>
                <w:rFonts w:ascii="Arial" w:hAnsi="Arial" w:cs="Arial"/>
              </w:rPr>
              <w:t>!.</w:t>
            </w:r>
            <w:proofErr w:type="gramEnd"/>
            <w:r w:rsidRPr="00F5494A">
              <w:rPr>
                <w:rFonts w:ascii="Arial" w:hAnsi="Arial" w:cs="Arial"/>
              </w:rPr>
              <w:t xml:space="preserve"> Brown and Benchmark, latest edition</w:t>
            </w:r>
          </w:p>
          <w:p w:rsidR="00A570D0" w:rsidRPr="00F5494A" w:rsidRDefault="00101090">
            <w:pPr>
              <w:rPr>
                <w:rFonts w:ascii="Arial" w:hAnsi="Arial" w:cs="Arial"/>
              </w:rPr>
            </w:pPr>
            <w:r w:rsidRPr="00F5494A">
              <w:rPr>
                <w:rFonts w:ascii="Arial" w:hAnsi="Arial" w:cs="Arial"/>
              </w:rPr>
              <w:t>Steinke, Greg.  Basic Materials in Music Theory.</w:t>
            </w:r>
          </w:p>
          <w:p w:rsidR="00A570D0" w:rsidRPr="00F5494A" w:rsidRDefault="00101090">
            <w:pPr>
              <w:rPr>
                <w:rFonts w:ascii="Arial" w:hAnsi="Arial" w:cs="Arial"/>
              </w:rPr>
            </w:pPr>
            <w:r w:rsidRPr="00F5494A">
              <w:rPr>
                <w:rFonts w:ascii="Arial" w:hAnsi="Arial" w:cs="Arial"/>
              </w:rPr>
              <w:t>Duckworth, William. A Creative Approach to Music Fundamentals.</w:t>
            </w:r>
          </w:p>
          <w:p w:rsidR="00A570D0" w:rsidRPr="00F5494A" w:rsidRDefault="00101090">
            <w:pPr>
              <w:rPr>
                <w:rFonts w:ascii="Arial" w:hAnsi="Arial" w:cs="Arial"/>
              </w:rPr>
            </w:pPr>
            <w:proofErr w:type="spellStart"/>
            <w:r w:rsidRPr="00F5494A">
              <w:rPr>
                <w:rFonts w:ascii="Arial" w:hAnsi="Arial" w:cs="Arial"/>
              </w:rPr>
              <w:t>Gerhold</w:t>
            </w:r>
            <w:proofErr w:type="spellEnd"/>
            <w:r w:rsidRPr="00F5494A">
              <w:rPr>
                <w:rFonts w:ascii="Arial" w:hAnsi="Arial" w:cs="Arial"/>
              </w:rPr>
              <w:t>, John. A Plain English Guide to Music Fundamentals. Kendall-Hunt, latest edition</w:t>
            </w:r>
          </w:p>
          <w:p w:rsidR="00A570D0" w:rsidRPr="00F5494A" w:rsidRDefault="00A570D0">
            <w:pPr>
              <w:rPr>
                <w:rFonts w:ascii="Arial" w:hAnsi="Arial" w:cs="Arial"/>
              </w:rPr>
            </w:pPr>
          </w:p>
        </w:tc>
      </w:tr>
      <w:tr w:rsidR="00A570D0" w:rsidRPr="00F5494A">
        <w:tc>
          <w:tcPr>
            <w:tcW w:w="9350" w:type="dxa"/>
            <w:gridSpan w:val="4"/>
            <w:tcBorders>
              <w:bottom w:val="single" w:sz="4" w:space="0" w:color="000000"/>
            </w:tcBorders>
          </w:tcPr>
          <w:p w:rsidR="00A570D0" w:rsidRPr="00F5494A" w:rsidRDefault="00101090" w:rsidP="00101090">
            <w:pPr>
              <w:rPr>
                <w:rFonts w:ascii="Arial" w:hAnsi="Arial" w:cs="Arial"/>
              </w:rPr>
            </w:pPr>
            <w:r w:rsidRPr="00F5494A">
              <w:rPr>
                <w:rFonts w:ascii="Arial" w:hAnsi="Arial" w:cs="Arial"/>
              </w:rPr>
              <w:t>FDRG Lead Signature:                                                           Date: Revised 7/5/2017</w:t>
            </w:r>
          </w:p>
        </w:tc>
      </w:tr>
      <w:tr w:rsidR="00A570D0" w:rsidRPr="00F5494A">
        <w:tc>
          <w:tcPr>
            <w:tcW w:w="4681" w:type="dxa"/>
            <w:gridSpan w:val="2"/>
            <w:shd w:val="clear" w:color="auto" w:fill="E0E0E0"/>
          </w:tcPr>
          <w:p w:rsidR="00A570D0" w:rsidRPr="00F5494A" w:rsidRDefault="00101090">
            <w:pPr>
              <w:rPr>
                <w:rFonts w:ascii="Arial" w:hAnsi="Arial" w:cs="Arial"/>
              </w:rPr>
            </w:pPr>
            <w:r w:rsidRPr="00F5494A">
              <w:rPr>
                <w:rFonts w:ascii="Arial" w:hAnsi="Arial" w:cs="Arial"/>
              </w:rPr>
              <w:t xml:space="preserve">[For Office Use Only]                                                             </w:t>
            </w:r>
          </w:p>
        </w:tc>
        <w:tc>
          <w:tcPr>
            <w:tcW w:w="4669" w:type="dxa"/>
            <w:gridSpan w:val="2"/>
            <w:shd w:val="clear" w:color="auto" w:fill="E0E0E0"/>
          </w:tcPr>
          <w:p w:rsidR="00A570D0" w:rsidRPr="00F5494A" w:rsidRDefault="00101090">
            <w:pPr>
              <w:rPr>
                <w:rFonts w:ascii="Arial" w:hAnsi="Arial" w:cs="Arial"/>
                <w:b/>
              </w:rPr>
            </w:pPr>
            <w:r w:rsidRPr="00F5494A">
              <w:rPr>
                <w:rFonts w:ascii="Arial" w:hAnsi="Arial" w:cs="Arial"/>
              </w:rPr>
              <w:t xml:space="preserve"> </w:t>
            </w:r>
            <w:r w:rsidRPr="00F5494A">
              <w:rPr>
                <w:rFonts w:ascii="Arial" w:hAnsi="Arial" w:cs="Arial"/>
                <w:b/>
              </w:rPr>
              <w:t>Internal Tracking Number</w:t>
            </w:r>
          </w:p>
        </w:tc>
      </w:tr>
      <w:tr w:rsidR="00A570D0" w:rsidRPr="00F5494A">
        <w:tc>
          <w:tcPr>
            <w:tcW w:w="9350" w:type="dxa"/>
            <w:gridSpan w:val="4"/>
            <w:shd w:val="clear" w:color="auto" w:fill="E0E0E0"/>
          </w:tcPr>
          <w:p w:rsidR="00A570D0" w:rsidRPr="00F5494A" w:rsidRDefault="00A570D0">
            <w:pPr>
              <w:rPr>
                <w:rFonts w:ascii="Arial" w:hAnsi="Arial" w:cs="Arial"/>
              </w:rPr>
            </w:pPr>
          </w:p>
        </w:tc>
      </w:tr>
    </w:tbl>
    <w:p w:rsidR="00A570D0" w:rsidRPr="00F5494A" w:rsidRDefault="00A570D0" w:rsidP="00C7641C">
      <w:pPr>
        <w:rPr>
          <w:rFonts w:ascii="Arial" w:hAnsi="Arial" w:cs="Arial"/>
          <w:sz w:val="18"/>
          <w:szCs w:val="18"/>
        </w:rPr>
      </w:pPr>
    </w:p>
    <w:sectPr w:rsidR="00A570D0" w:rsidRPr="00F5494A">
      <w:headerReference w:type="default" r:id="rId7"/>
      <w:pgSz w:w="12240" w:h="15840"/>
      <w:pgMar w:top="900" w:right="1440" w:bottom="108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C1" w:rsidRDefault="00101090">
      <w:r>
        <w:separator/>
      </w:r>
    </w:p>
  </w:endnote>
  <w:endnote w:type="continuationSeparator" w:id="0">
    <w:p w:rsidR="005563C1" w:rsidRDefault="0010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C1" w:rsidRDefault="00101090">
      <w:r>
        <w:separator/>
      </w:r>
    </w:p>
  </w:footnote>
  <w:footnote w:type="continuationSeparator" w:id="0">
    <w:p w:rsidR="005563C1" w:rsidRDefault="00101090">
      <w:r>
        <w:continuationSeparator/>
      </w:r>
    </w:p>
  </w:footnote>
  <w:footnote w:id="1">
    <w:p w:rsidR="00A570D0" w:rsidRDefault="00101090">
      <w:pPr>
        <w:rPr>
          <w:rFonts w:ascii="Arial" w:eastAsia="Arial" w:hAnsi="Arial" w:cs="Arial"/>
          <w:sz w:val="16"/>
          <w:szCs w:val="16"/>
        </w:rPr>
      </w:pPr>
      <w:r>
        <w:rPr>
          <w:vertAlign w:val="superscript"/>
        </w:rPr>
        <w:footnoteRef/>
      </w:r>
      <w:r>
        <w:t xml:space="preserve"> </w:t>
      </w:r>
      <w:r>
        <w:rPr>
          <w:rFonts w:ascii="Arial" w:eastAsia="Arial" w:hAnsi="Arial" w:cs="Arial"/>
          <w:sz w:val="16"/>
          <w:szCs w:val="16"/>
        </w:rPr>
        <w:t>Prerequisite or co-requisite course need to be validated at the CCC level in accordance with Title 5 regulations; co-requisites for CCCs are the linked courses that must be taken at the same time as the primary or target course.</w:t>
      </w:r>
    </w:p>
  </w:footnote>
  <w:footnote w:id="2">
    <w:p w:rsidR="00A570D0" w:rsidRDefault="00101090">
      <w:pPr>
        <w:rPr>
          <w:rFonts w:ascii="Arial" w:eastAsia="Arial" w:hAnsi="Arial" w:cs="Arial"/>
          <w:sz w:val="16"/>
          <w:szCs w:val="16"/>
        </w:rPr>
      </w:pPr>
      <w:r>
        <w:rPr>
          <w:vertAlign w:val="superscript"/>
        </w:rPr>
        <w:footnoteRef/>
      </w:r>
      <w:r>
        <w:t xml:space="preserve"> </w:t>
      </w:r>
      <w:r>
        <w:rPr>
          <w:rFonts w:ascii="Arial" w:eastAsia="Arial" w:hAnsi="Arial" w:cs="Arial"/>
          <w:sz w:val="16"/>
          <w:szCs w:val="16"/>
        </w:rPr>
        <w:t xml:space="preserve">Advisories or recommended preparation will not require validation but are recommendations to be considered by the student prior to enrolling.  </w:t>
      </w:r>
    </w:p>
    <w:p w:rsidR="00A570D0" w:rsidRDefault="00A570D0">
      <w:pPr>
        <w:rPr>
          <w:rFonts w:ascii="Arial" w:eastAsia="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0D0" w:rsidRDefault="00A570D0">
    <w:pPr>
      <w:tabs>
        <w:tab w:val="center" w:pos="4320"/>
        <w:tab w:val="right" w:pos="8640"/>
      </w:tabs>
      <w:spacing w:before="360"/>
      <w:ind w:lef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66B4E"/>
    <w:multiLevelType w:val="multilevel"/>
    <w:tmpl w:val="BD04D8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570D0"/>
    <w:rsid w:val="00101090"/>
    <w:rsid w:val="005563C1"/>
    <w:rsid w:val="005D4A29"/>
    <w:rsid w:val="00A570D0"/>
    <w:rsid w:val="00C7641C"/>
    <w:rsid w:val="00F5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B2183-079A-42E2-8842-332D23D1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Rother</cp:lastModifiedBy>
  <cp:revision>5</cp:revision>
  <dcterms:created xsi:type="dcterms:W3CDTF">2017-09-28T19:22:00Z</dcterms:created>
  <dcterms:modified xsi:type="dcterms:W3CDTF">2017-09-28T19:27:00Z</dcterms:modified>
</cp:coreProperties>
</file>